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5192"/>
        </w:tabs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中南大学学位论文管理系统说明书</w:t>
      </w:r>
    </w:p>
    <w:p>
      <w:pPr>
        <w:tabs>
          <w:tab w:val="left" w:pos="5192"/>
        </w:tabs>
        <w:jc w:val="right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-学生</w:t>
      </w:r>
    </w:p>
    <w:p>
      <w:pPr>
        <w:tabs>
          <w:tab w:val="left" w:pos="5192"/>
        </w:tabs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学生登陆</w:t>
      </w:r>
    </w:p>
    <w:p>
      <w:pPr>
        <w:adjustRightInd w:val="0"/>
        <w:snapToGrid w:val="0"/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登陆网址：</w:t>
      </w:r>
      <w:r>
        <w:fldChar w:fldCharType="begin"/>
      </w:r>
      <w:r>
        <w:instrText xml:space="preserve"> HYPERLINK "http://gracsu.co.cnki.net/" </w:instrText>
      </w:r>
      <w:r>
        <w:fldChar w:fldCharType="separate"/>
      </w:r>
      <w:r>
        <w:rPr>
          <w:rStyle w:val="10"/>
          <w:rFonts w:ascii="宋体" w:hAnsi="宋体" w:eastAsia="宋体"/>
          <w:sz w:val="28"/>
          <w:szCs w:val="28"/>
        </w:rPr>
        <w:t>http://gracsu.co.cnki.net/</w:t>
      </w:r>
      <w:r>
        <w:rPr>
          <w:rStyle w:val="10"/>
          <w:rFonts w:ascii="宋体" w:hAnsi="宋体" w:eastAsia="宋体"/>
          <w:sz w:val="28"/>
          <w:szCs w:val="28"/>
        </w:rPr>
        <w:fldChar w:fldCharType="end"/>
      </w:r>
      <w:r>
        <w:rPr>
          <w:rFonts w:hint="eastAsia" w:ascii="宋体" w:hAnsi="宋体" w:eastAsia="宋体"/>
          <w:sz w:val="28"/>
          <w:szCs w:val="28"/>
        </w:rPr>
        <w:t xml:space="preserve"> </w:t>
      </w:r>
    </w:p>
    <w:p>
      <w:pPr>
        <w:adjustRightInd w:val="0"/>
        <w:snapToGrid w:val="0"/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试用阶段初始登录名与密码均为学生学号，选择学生角色，登陆后可绑定微信进行登陆</w:t>
      </w:r>
    </w:p>
    <w:p>
      <w:pPr>
        <w:adjustRightInd w:val="0"/>
        <w:snapToGrid w:val="0"/>
        <w:spacing w:line="360" w:lineRule="auto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7235825" cy="3808730"/>
            <wp:effectExtent l="0" t="0" r="317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82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过程管理第一阶段</w:t>
      </w:r>
    </w:p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（论文提交格式检查）</w:t>
      </w:r>
    </w:p>
    <w:p>
      <w:pPr>
        <w:jc w:val="center"/>
        <w:rPr>
          <w:b/>
          <w:sz w:val="44"/>
          <w:szCs w:val="44"/>
        </w:rPr>
      </w:pPr>
    </w:p>
    <w:p>
      <w:pPr>
        <w:adjustRightInd w:val="0"/>
        <w:snapToGrid w:val="0"/>
        <w:spacing w:line="360" w:lineRule="auto"/>
        <w:ind w:firstLine="602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bCs/>
          <w:sz w:val="30"/>
          <w:szCs w:val="30"/>
        </w:rPr>
        <w:t>学生提交论文进行格式检查</w:t>
      </w:r>
    </w:p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进行学术不端行为检测前，系统按照学校模板为学生提供格式检查服务，旨在帮助学生综合查看自己论文中出可能存在得格式错误，段落错误，错别字等情况。学生可使用初稿功能登陆进入写作助手进行格式检查，或直接在提交学位论文端口提交待检测论文进行格式检查。（1，在导师为确认情况下，学生可多次修改提交查看格式检查结果。2，格式检查只用于辅助提醒功能，不受指标影响）</w:t>
      </w:r>
    </w:p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方法一：进入提交初稿功能，点击进入写作助手，进行模板比对（需验证邮箱登陆）</w:t>
      </w:r>
    </w:p>
    <w:p>
      <w:pPr>
        <w:adjustRightInd w:val="0"/>
        <w:snapToGrid w:val="0"/>
        <w:spacing w:line="360" w:lineRule="auto"/>
        <w:ind w:firstLine="420" w:firstLineChars="200"/>
      </w:pPr>
      <w:r>
        <w:drawing>
          <wp:inline distT="0" distB="0" distL="114300" distR="114300">
            <wp:extent cx="9314180" cy="3150870"/>
            <wp:effectExtent l="0" t="0" r="1270" b="1143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4180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9205595" cy="3354070"/>
            <wp:effectExtent l="0" t="0" r="14605" b="177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559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Ps：格式检查可多次使用</w:t>
      </w:r>
    </w:p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方法二（提交检测时）：</w:t>
      </w:r>
    </w:p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（一）点击“过程文档管理”-</w:t>
      </w:r>
      <w:r>
        <w:rPr>
          <w:rFonts w:ascii="宋体" w:hAnsi="宋体" w:eastAsia="宋体"/>
          <w:sz w:val="28"/>
          <w:szCs w:val="28"/>
        </w:rPr>
        <w:t>--“</w:t>
      </w:r>
      <w:r>
        <w:rPr>
          <w:rFonts w:hint="eastAsia" w:ascii="宋体" w:hAnsi="宋体" w:eastAsia="宋体"/>
          <w:sz w:val="28"/>
          <w:szCs w:val="28"/>
        </w:rPr>
        <w:t>提交学位论文</w:t>
      </w:r>
      <w:r>
        <w:rPr>
          <w:rFonts w:ascii="宋体" w:hAnsi="宋体" w:eastAsia="宋体"/>
          <w:sz w:val="28"/>
          <w:szCs w:val="28"/>
        </w:rPr>
        <w:t>”</w:t>
      </w:r>
      <w:r>
        <w:rPr>
          <w:rFonts w:hint="eastAsia" w:ascii="宋体" w:hAnsi="宋体" w:eastAsia="宋体"/>
          <w:sz w:val="28"/>
          <w:szCs w:val="28"/>
        </w:rPr>
        <w:t>，进入论文提交页面。</w:t>
      </w:r>
    </w:p>
    <w:p>
      <w:pPr>
        <w:ind w:firstLine="420" w:firstLineChars="200"/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9310370" cy="2820670"/>
            <wp:effectExtent l="0" t="0" r="5080" b="1778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037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ind w:left="910" w:firstLine="560"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点击“提交文档”，进入提交页面（如下图），录入关键词中英文摘要等信息（若无，请填“无”），选择模板比对（需提交模板对比后显示格式检查模板按钮）</w:t>
      </w:r>
    </w:p>
    <w:p>
      <w:pPr>
        <w:pStyle w:val="13"/>
        <w:ind w:left="779" w:leftChars="371" w:firstLine="417" w:firstLineChars="0"/>
      </w:pPr>
      <w:r>
        <w:drawing>
          <wp:inline distT="0" distB="0" distL="114300" distR="114300">
            <wp:extent cx="8535035" cy="4869815"/>
            <wp:effectExtent l="0" t="0" r="18415" b="698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5035" cy="486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0" w:firstLineChars="0"/>
      </w:pPr>
      <w:r>
        <w:rPr>
          <w:rFonts w:hint="eastAsia"/>
        </w:rPr>
        <w:t xml:space="preserve"> </w:t>
      </w:r>
    </w:p>
    <w:p>
      <w:pPr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 xml:space="preserve">  </w:t>
      </w:r>
      <w:r>
        <w:rPr>
          <w:rFonts w:hint="eastAsia" w:ascii="宋体" w:hAnsi="宋体" w:eastAsia="宋体"/>
          <w:b/>
          <w:bCs/>
          <w:sz w:val="30"/>
          <w:szCs w:val="30"/>
        </w:rPr>
        <w:t xml:space="preserve"> 结果查询：</w:t>
      </w:r>
    </w:p>
    <w:p>
      <w:pPr>
        <w:ind w:firstLine="560" w:firstLineChars="200"/>
        <w:rPr>
          <w:b/>
          <w:sz w:val="44"/>
          <w:szCs w:val="44"/>
        </w:rPr>
      </w:pPr>
      <w:r>
        <w:rPr>
          <w:rFonts w:hint="eastAsia" w:ascii="宋体" w:hAnsi="宋体" w:eastAsia="宋体"/>
          <w:sz w:val="28"/>
          <w:szCs w:val="28"/>
        </w:rPr>
        <w:t>点击“过程文档管理”-</w:t>
      </w:r>
      <w:r>
        <w:rPr>
          <w:rFonts w:ascii="宋体" w:hAnsi="宋体" w:eastAsia="宋体"/>
          <w:sz w:val="28"/>
          <w:szCs w:val="28"/>
        </w:rPr>
        <w:t>--“</w:t>
      </w:r>
      <w:r>
        <w:rPr>
          <w:rFonts w:hint="eastAsia" w:ascii="宋体" w:hAnsi="宋体" w:eastAsia="宋体"/>
          <w:sz w:val="28"/>
          <w:szCs w:val="28"/>
        </w:rPr>
        <w:t>提交学位论文</w:t>
      </w:r>
      <w:r>
        <w:rPr>
          <w:rFonts w:ascii="宋体" w:hAnsi="宋体" w:eastAsia="宋体"/>
          <w:sz w:val="28"/>
          <w:szCs w:val="28"/>
        </w:rPr>
        <w:t>”</w:t>
      </w:r>
      <w:r>
        <w:rPr>
          <w:rFonts w:hint="eastAsia" w:ascii="宋体" w:hAnsi="宋体" w:eastAsia="宋体"/>
          <w:sz w:val="28"/>
          <w:szCs w:val="28"/>
        </w:rPr>
        <w:t>，点击格式检查结果。</w:t>
      </w:r>
    </w:p>
    <w:p>
      <w:pPr>
        <w:rPr>
          <w:b/>
          <w:sz w:val="44"/>
          <w:szCs w:val="44"/>
        </w:rPr>
      </w:pPr>
      <w:r>
        <w:drawing>
          <wp:inline distT="0" distB="0" distL="114300" distR="114300">
            <wp:extent cx="8625840" cy="3375660"/>
            <wp:effectExtent l="0" t="0" r="3810" b="1524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584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可直接在页面查看综合情况，也可进入查看详情查看详细信息</w:t>
      </w:r>
    </w:p>
    <w:p>
      <w:pPr>
        <w:rPr>
          <w:b/>
          <w:sz w:val="44"/>
          <w:szCs w:val="44"/>
        </w:rPr>
      </w:pPr>
      <w:r>
        <w:drawing>
          <wp:inline distT="0" distB="0" distL="114300" distR="114300">
            <wp:extent cx="9314180" cy="3874770"/>
            <wp:effectExtent l="0" t="0" r="1270" b="1143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4180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Ps：随检测提交的格式检查机会只有一次</w:t>
      </w: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过程管理第二阶段</w:t>
      </w:r>
    </w:p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（论文提交、检测）-学生</w:t>
      </w:r>
      <w:bookmarkStart w:id="0" w:name="_Toc6241332"/>
    </w:p>
    <w:sdt>
      <w:sdtPr>
        <w:rPr>
          <w:rFonts w:ascii="等线" w:hAnsi="等线" w:eastAsia="等线" w:cs="Times New Roman"/>
          <w:lang w:val="zh-CN"/>
        </w:rPr>
        <w:id w:val="-1960790649"/>
        <w:docPartObj>
          <w:docPartGallery w:val="Table of Contents"/>
          <w:docPartUnique/>
        </w:docPartObj>
      </w:sdtPr>
      <w:sdtEndPr>
        <w:rPr>
          <w:rFonts w:ascii="等线" w:hAnsi="等线" w:eastAsia="等线" w:cs="Times New Roman"/>
          <w:b/>
          <w:bCs/>
          <w:lang w:val="zh-CN"/>
        </w:rPr>
      </w:sdtEndPr>
      <w:sdtContent>
        <w:p>
          <w:pPr>
            <w:keepNext/>
            <w:keepLines/>
            <w:widowControl/>
            <w:spacing w:before="240" w:line="259" w:lineRule="auto"/>
            <w:jc w:val="center"/>
            <w:rPr>
              <w:rFonts w:ascii="宋体" w:hAnsi="宋体" w:eastAsia="宋体" w:cs="Times New Roman"/>
              <w:b/>
              <w:color w:val="2F5496"/>
              <w:kern w:val="0"/>
              <w:sz w:val="32"/>
              <w:szCs w:val="32"/>
            </w:rPr>
          </w:pPr>
        </w:p>
        <w:p>
          <w:pPr>
            <w:pStyle w:val="7"/>
            <w:tabs>
              <w:tab w:val="right" w:leader="dot" w:pos="14678"/>
            </w:tabs>
            <w:rPr>
              <w:b/>
              <w:bCs/>
              <w:sz w:val="30"/>
              <w:szCs w:val="30"/>
            </w:rPr>
          </w:pPr>
          <w:r>
            <w:rPr>
              <w:rFonts w:ascii="宋体" w:hAnsi="宋体" w:eastAsia="宋体" w:cs="Times New Roman"/>
              <w:b/>
              <w:bCs/>
              <w:sz w:val="32"/>
              <w:szCs w:val="32"/>
              <w:lang w:val="zh-CN"/>
            </w:rPr>
            <w:fldChar w:fldCharType="begin"/>
          </w:r>
          <w:r>
            <w:rPr>
              <w:rFonts w:ascii="宋体" w:hAnsi="宋体" w:eastAsia="宋体" w:cs="Times New Roman"/>
              <w:b/>
              <w:bCs/>
              <w:sz w:val="32"/>
              <w:szCs w:val="32"/>
              <w:lang w:val="zh-CN"/>
            </w:rPr>
            <w:instrText xml:space="preserve"> TOC \o "1-3" \h \z \u </w:instrText>
          </w:r>
          <w:r>
            <w:rPr>
              <w:rFonts w:ascii="宋体" w:hAnsi="宋体" w:eastAsia="宋体" w:cs="Times New Roman"/>
              <w:b/>
              <w:bCs/>
              <w:sz w:val="32"/>
              <w:szCs w:val="32"/>
              <w:lang w:val="zh-CN"/>
            </w:rPr>
            <w:fldChar w:fldCharType="separate"/>
          </w:r>
          <w:r>
            <w:fldChar w:fldCharType="begin"/>
          </w:r>
          <w:r>
            <w:instrText xml:space="preserve"> HYPERLINK \l "_Toc25227" </w:instrText>
          </w:r>
          <w:r>
            <w:fldChar w:fldCharType="separate"/>
          </w:r>
          <w:r>
            <w:rPr>
              <w:rFonts w:hint="eastAsia" w:ascii="宋体" w:hAnsi="宋体" w:eastAsia="宋体"/>
              <w:b/>
              <w:bCs/>
              <w:sz w:val="30"/>
              <w:szCs w:val="30"/>
            </w:rPr>
            <w:t>一、流程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_Toc25227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3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>
          <w:pPr>
            <w:pStyle w:val="7"/>
            <w:tabs>
              <w:tab w:val="right" w:leader="dot" w:pos="14678"/>
            </w:tabs>
            <w:rPr>
              <w:rFonts w:ascii="宋体" w:hAnsi="宋体" w:eastAsia="宋体" w:cs="Times New Roman"/>
              <w:b/>
              <w:bCs/>
              <w:sz w:val="30"/>
              <w:szCs w:val="30"/>
              <w:lang w:val="zh-CN"/>
            </w:rPr>
          </w:pPr>
          <w:r>
            <w:fldChar w:fldCharType="begin"/>
          </w:r>
          <w:r>
            <w:instrText xml:space="preserve"> HYPERLINK \l "_Toc8539" </w:instrText>
          </w:r>
          <w:r>
            <w:fldChar w:fldCharType="separate"/>
          </w:r>
          <w:r>
            <w:rPr>
              <w:rFonts w:ascii="宋体" w:hAnsi="宋体" w:eastAsia="宋体"/>
              <w:b/>
              <w:bCs/>
              <w:sz w:val="30"/>
              <w:szCs w:val="30"/>
            </w:rPr>
            <w:t>二</w:t>
          </w:r>
          <w:r>
            <w:rPr>
              <w:rFonts w:hint="eastAsia" w:ascii="宋体" w:hAnsi="宋体" w:eastAsia="宋体"/>
              <w:b/>
              <w:bCs/>
              <w:sz w:val="30"/>
              <w:szCs w:val="30"/>
            </w:rPr>
            <w:t>、学生提交论文检测（含最终版提交指南）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_Toc8539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3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>
          <w:pPr>
            <w:rPr>
              <w:rFonts w:eastAsia="宋体"/>
            </w:rPr>
          </w:pPr>
        </w:p>
        <w:p>
          <w:pPr>
            <w:adjustRightInd w:val="0"/>
            <w:snapToGrid w:val="0"/>
            <w:spacing w:line="480" w:lineRule="auto"/>
            <w:jc w:val="center"/>
            <w:rPr>
              <w:rFonts w:ascii="等线" w:hAnsi="等线" w:eastAsia="等线" w:cs="Times New Roman"/>
              <w:b/>
              <w:bCs/>
              <w:lang w:val="zh-CN"/>
            </w:rPr>
          </w:pPr>
          <w:r>
            <w:rPr>
              <w:rFonts w:ascii="宋体" w:hAnsi="宋体" w:eastAsia="宋体" w:cs="Times New Roman"/>
              <w:bCs/>
              <w:szCs w:val="32"/>
              <w:lang w:val="zh-CN"/>
            </w:rPr>
            <w:fldChar w:fldCharType="end"/>
          </w:r>
        </w:p>
      </w:sdtContent>
    </w:sdt>
    <w:p>
      <w:pPr>
        <w:rPr>
          <w:rFonts w:ascii="宋体" w:hAnsi="宋体" w:eastAsia="宋体"/>
          <w:b/>
          <w:sz w:val="28"/>
          <w:szCs w:val="28"/>
        </w:rPr>
      </w:pPr>
    </w:p>
    <w:p>
      <w:pPr>
        <w:rPr>
          <w:rFonts w:ascii="宋体" w:hAnsi="宋体" w:eastAsia="宋体"/>
          <w:b/>
          <w:sz w:val="28"/>
          <w:szCs w:val="28"/>
        </w:rPr>
      </w:pPr>
    </w:p>
    <w:p>
      <w:pPr>
        <w:rPr>
          <w:rFonts w:ascii="宋体" w:hAnsi="宋体" w:eastAsia="宋体"/>
          <w:b/>
          <w:sz w:val="28"/>
          <w:szCs w:val="28"/>
        </w:rPr>
      </w:pPr>
    </w:p>
    <w:p>
      <w:pPr>
        <w:pStyle w:val="3"/>
        <w:jc w:val="both"/>
        <w:rPr>
          <w:rFonts w:ascii="宋体" w:hAnsi="宋体" w:eastAsia="宋体"/>
        </w:rPr>
      </w:pPr>
      <w:bookmarkStart w:id="1" w:name="_Toc25227"/>
      <w:r>
        <w:rPr>
          <w:rFonts w:hint="eastAsia" w:ascii="宋体" w:hAnsi="宋体" w:eastAsia="宋体"/>
        </w:rPr>
        <w:t>一、流程</w:t>
      </w:r>
      <w:bookmarkEnd w:id="0"/>
      <w:bookmarkEnd w:id="1"/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/>
          <w:sz w:val="28"/>
          <w:szCs w:val="28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614680</wp:posOffset>
            </wp:positionV>
            <wp:extent cx="3105150" cy="3057525"/>
            <wp:effectExtent l="0" t="0" r="0" b="9525"/>
            <wp:wrapThrough wrapText="bothSides">
              <wp:wrapPolygon>
                <wp:start x="0" y="0"/>
                <wp:lineTo x="0" y="21533"/>
                <wp:lineTo x="21467" y="21533"/>
                <wp:lineTo x="21467" y="0"/>
                <wp:lineTo x="0" y="0"/>
              </wp:wrapPolygon>
            </wp:wrapThrough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3696335</wp:posOffset>
            </wp:positionH>
            <wp:positionV relativeFrom="paragraph">
              <wp:posOffset>354330</wp:posOffset>
            </wp:positionV>
            <wp:extent cx="5000625" cy="4164965"/>
            <wp:effectExtent l="0" t="0" r="9525" b="0"/>
            <wp:wrapTight wrapText="bothSides">
              <wp:wrapPolygon>
                <wp:start x="0" y="0"/>
                <wp:lineTo x="0" y="21537"/>
                <wp:lineTo x="21559" y="21537"/>
                <wp:lineTo x="21559" y="0"/>
                <wp:lineTo x="0" y="0"/>
              </wp:wrapPolygon>
            </wp:wrapTight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1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8"/>
          <w:szCs w:val="28"/>
        </w:rPr>
        <w:t>学术不端行为检测分为学生自由检测和正式检测，学生自由检测有1次。第一次检测为学生自由检测，第二次为正式检测，正式通过后，送审版提交到送审版。</w:t>
      </w:r>
    </w:p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 w:val="28"/>
          <w:szCs w:val="28"/>
        </w:rPr>
      </w:pPr>
    </w:p>
    <w:p>
      <w:pPr>
        <w:jc w:val="center"/>
      </w:pPr>
    </w:p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注：学生自由检测结果不影响正式检测结果。</w:t>
      </w:r>
    </w:p>
    <w:p>
      <w:pPr>
        <w:pStyle w:val="3"/>
        <w:numPr>
          <w:ilvl w:val="0"/>
          <w:numId w:val="2"/>
        </w:numPr>
        <w:rPr>
          <w:rFonts w:ascii="宋体" w:hAnsi="宋体" w:eastAsia="宋体"/>
        </w:rPr>
      </w:pPr>
      <w:bookmarkStart w:id="2" w:name="_Toc6241333"/>
      <w:bookmarkStart w:id="3" w:name="_Toc8539"/>
      <w:r>
        <w:rPr>
          <w:rFonts w:hint="eastAsia" w:ascii="宋体" w:hAnsi="宋体" w:eastAsia="宋体"/>
        </w:rPr>
        <w:t>学生提交</w:t>
      </w:r>
      <w:bookmarkEnd w:id="2"/>
      <w:r>
        <w:rPr>
          <w:rFonts w:hint="eastAsia" w:ascii="宋体" w:hAnsi="宋体" w:eastAsia="宋体"/>
        </w:rPr>
        <w:t>论文检测</w:t>
      </w:r>
      <w:bookmarkEnd w:id="3"/>
    </w:p>
    <w:p>
      <w:pPr>
        <w:rPr>
          <w:rFonts w:ascii="宋体" w:hAnsi="宋体" w:eastAsia="宋体" w:cstheme="majorBidi"/>
          <w:b/>
          <w:bCs/>
          <w:sz w:val="32"/>
          <w:szCs w:val="32"/>
        </w:rPr>
      </w:pPr>
      <w:r>
        <w:rPr>
          <w:rFonts w:hint="eastAsia" w:ascii="宋体" w:hAnsi="宋体" w:eastAsia="宋体" w:cstheme="majorBidi"/>
          <w:b/>
          <w:bCs/>
          <w:sz w:val="32"/>
          <w:szCs w:val="32"/>
        </w:rPr>
        <w:t>学生第一次检测阶段（自由检测）</w:t>
      </w:r>
    </w:p>
    <w:p/>
    <w:p>
      <w:pPr>
        <w:adjustRightInd w:val="0"/>
        <w:snapToGrid w:val="0"/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（一）点击“过程文档管理”-</w:t>
      </w:r>
      <w:r>
        <w:rPr>
          <w:rFonts w:ascii="宋体" w:hAnsi="宋体" w:eastAsia="宋体"/>
          <w:sz w:val="28"/>
          <w:szCs w:val="28"/>
        </w:rPr>
        <w:t>--“</w:t>
      </w:r>
      <w:r>
        <w:rPr>
          <w:rFonts w:hint="eastAsia" w:ascii="宋体" w:hAnsi="宋体" w:eastAsia="宋体"/>
          <w:sz w:val="28"/>
          <w:szCs w:val="28"/>
        </w:rPr>
        <w:t>提交学位论文</w:t>
      </w:r>
      <w:r>
        <w:rPr>
          <w:rFonts w:ascii="宋体" w:hAnsi="宋体" w:eastAsia="宋体"/>
          <w:sz w:val="28"/>
          <w:szCs w:val="28"/>
        </w:rPr>
        <w:t>”</w:t>
      </w:r>
      <w:r>
        <w:rPr>
          <w:rFonts w:hint="eastAsia" w:ascii="宋体" w:hAnsi="宋体" w:eastAsia="宋体"/>
          <w:sz w:val="28"/>
          <w:szCs w:val="28"/>
        </w:rPr>
        <w:t>，进入论文提交页面。</w:t>
      </w:r>
    </w:p>
    <w:p>
      <w:pPr>
        <w:jc w:val="center"/>
      </w:pPr>
      <w:r>
        <w:drawing>
          <wp:inline distT="0" distB="0" distL="114300" distR="114300">
            <wp:extent cx="7186930" cy="2729865"/>
            <wp:effectExtent l="0" t="0" r="13970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693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（二）点击“提交文档”，进入提交页面（如下图），录入关键词中英文摘要等信息（若无，请填“无”）。</w:t>
      </w:r>
    </w:p>
    <w:p>
      <w:pPr>
        <w:pStyle w:val="1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（三）点击“选择待检测文档”，选择待检测的论文，并选择格式检查模板然后提交。</w:t>
      </w:r>
    </w:p>
    <w:p>
      <w:pPr>
        <w:pStyle w:val="1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（注：学生第一次检测为自由检测即提交就出具检测结果，请同学确定文章无误后提交）</w:t>
      </w:r>
    </w:p>
    <w:p>
      <w:pPr>
        <w:jc w:val="center"/>
      </w:pPr>
      <w:r>
        <w:drawing>
          <wp:inline distT="0" distB="0" distL="114300" distR="114300">
            <wp:extent cx="6953885" cy="4270375"/>
            <wp:effectExtent l="0" t="0" r="18415" b="158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85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359" w:leftChars="171"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提交成功后，进入如下图所示：</w:t>
      </w:r>
    </w:p>
    <w:p>
      <w:pPr>
        <w:jc w:val="center"/>
      </w:pPr>
      <w:r>
        <w:drawing>
          <wp:inline distT="0" distB="0" distL="114300" distR="114300">
            <wp:extent cx="7155180" cy="1421130"/>
            <wp:effectExtent l="0" t="0" r="7620" b="76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518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（四）查看结果：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1.点击“查看详情”可看到检测结果及教师批注内容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2.点击“写作检查结果”及“格式检查结果”可看到写作检查及格式检查结果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Ps：写作检查及格式检查结果仅用于辅助参考，考核标准以检测结果为准</w:t>
      </w:r>
    </w:p>
    <w:p>
      <w:pPr>
        <w:widowControl/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bookmarkStart w:id="4" w:name="_GoBack"/>
      <w:bookmarkEnd w:id="4"/>
    </w:p>
    <w:sectPr>
      <w:footerReference r:id="rId3" w:type="default"/>
      <w:pgSz w:w="16838" w:h="11906" w:orient="landscape"/>
      <w:pgMar w:top="1440" w:right="1080" w:bottom="1440" w:left="108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597717008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13</w:t>
        </w:r>
        <w:r>
          <w:fldChar w:fldCharType="end"/>
        </w:r>
      </w:p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0CFA71"/>
    <w:multiLevelType w:val="singleLevel"/>
    <w:tmpl w:val="170CFA71"/>
    <w:lvl w:ilvl="0" w:tentative="0">
      <w:start w:val="2"/>
      <w:numFmt w:val="chineseCounting"/>
      <w:suff w:val="nothing"/>
      <w:lvlText w:val="（%1）"/>
      <w:lvlJc w:val="left"/>
      <w:pPr>
        <w:ind w:left="551"/>
      </w:pPr>
      <w:rPr>
        <w:rFonts w:hint="eastAsia"/>
      </w:rPr>
    </w:lvl>
  </w:abstractNum>
  <w:abstractNum w:abstractNumId="1">
    <w:nsid w:val="52F18060"/>
    <w:multiLevelType w:val="singleLevel"/>
    <w:tmpl w:val="52F1806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313E7"/>
    <w:rsid w:val="0000643A"/>
    <w:rsid w:val="000072F9"/>
    <w:rsid w:val="00025AC9"/>
    <w:rsid w:val="000313E7"/>
    <w:rsid w:val="00062995"/>
    <w:rsid w:val="000650F9"/>
    <w:rsid w:val="000651FE"/>
    <w:rsid w:val="00087F3B"/>
    <w:rsid w:val="00096CC6"/>
    <w:rsid w:val="000F0CEF"/>
    <w:rsid w:val="0011647E"/>
    <w:rsid w:val="0012796D"/>
    <w:rsid w:val="00137E4F"/>
    <w:rsid w:val="001931A5"/>
    <w:rsid w:val="001934D9"/>
    <w:rsid w:val="001A51DF"/>
    <w:rsid w:val="001C42C7"/>
    <w:rsid w:val="002165CF"/>
    <w:rsid w:val="003F08C6"/>
    <w:rsid w:val="003F115F"/>
    <w:rsid w:val="003F3CD8"/>
    <w:rsid w:val="004051EE"/>
    <w:rsid w:val="004141D3"/>
    <w:rsid w:val="004167A1"/>
    <w:rsid w:val="00447434"/>
    <w:rsid w:val="004567DA"/>
    <w:rsid w:val="0046505A"/>
    <w:rsid w:val="00484BF2"/>
    <w:rsid w:val="00505B82"/>
    <w:rsid w:val="00514DB3"/>
    <w:rsid w:val="005271CB"/>
    <w:rsid w:val="0059353D"/>
    <w:rsid w:val="005E09BF"/>
    <w:rsid w:val="00637D65"/>
    <w:rsid w:val="006403D5"/>
    <w:rsid w:val="00654406"/>
    <w:rsid w:val="006B3CB9"/>
    <w:rsid w:val="006C4097"/>
    <w:rsid w:val="006E0BF7"/>
    <w:rsid w:val="007359AB"/>
    <w:rsid w:val="00777109"/>
    <w:rsid w:val="00791824"/>
    <w:rsid w:val="007D1E75"/>
    <w:rsid w:val="0084096B"/>
    <w:rsid w:val="0085585A"/>
    <w:rsid w:val="00866A2A"/>
    <w:rsid w:val="00891304"/>
    <w:rsid w:val="008A4FFC"/>
    <w:rsid w:val="008A7CB3"/>
    <w:rsid w:val="008B0BAD"/>
    <w:rsid w:val="008B27DA"/>
    <w:rsid w:val="008D158B"/>
    <w:rsid w:val="008E2E50"/>
    <w:rsid w:val="009738DB"/>
    <w:rsid w:val="009756A5"/>
    <w:rsid w:val="00984C0B"/>
    <w:rsid w:val="009C26C2"/>
    <w:rsid w:val="00A535F2"/>
    <w:rsid w:val="00A84102"/>
    <w:rsid w:val="00A91707"/>
    <w:rsid w:val="00AB06CF"/>
    <w:rsid w:val="00AD1575"/>
    <w:rsid w:val="00AF53C1"/>
    <w:rsid w:val="00AF5707"/>
    <w:rsid w:val="00B045E9"/>
    <w:rsid w:val="00B04A70"/>
    <w:rsid w:val="00B05D9A"/>
    <w:rsid w:val="00B44FFC"/>
    <w:rsid w:val="00B6123F"/>
    <w:rsid w:val="00B6670C"/>
    <w:rsid w:val="00B76C28"/>
    <w:rsid w:val="00C35EA3"/>
    <w:rsid w:val="00C64AE6"/>
    <w:rsid w:val="00CB7562"/>
    <w:rsid w:val="00CC4799"/>
    <w:rsid w:val="00CE5690"/>
    <w:rsid w:val="00D3179C"/>
    <w:rsid w:val="00D359EB"/>
    <w:rsid w:val="00D43D28"/>
    <w:rsid w:val="00DB1BD1"/>
    <w:rsid w:val="00DF238A"/>
    <w:rsid w:val="00DF640B"/>
    <w:rsid w:val="00E02DC8"/>
    <w:rsid w:val="00E7116B"/>
    <w:rsid w:val="00EB1F14"/>
    <w:rsid w:val="00EC50F6"/>
    <w:rsid w:val="00F42B76"/>
    <w:rsid w:val="00F623A4"/>
    <w:rsid w:val="00F63B5E"/>
    <w:rsid w:val="00F66F15"/>
    <w:rsid w:val="00F9650D"/>
    <w:rsid w:val="00FA3883"/>
    <w:rsid w:val="00FD65B0"/>
    <w:rsid w:val="00FE7B67"/>
    <w:rsid w:val="00FF3C84"/>
    <w:rsid w:val="0C04381B"/>
    <w:rsid w:val="156225E7"/>
    <w:rsid w:val="30CC2CEA"/>
    <w:rsid w:val="3AC811BB"/>
    <w:rsid w:val="63577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</w:rPr>
  </w:style>
  <w:style w:type="character" w:customStyle="1" w:styleId="11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5"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未处理的提及1"/>
    <w:basedOn w:val="9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15">
    <w:name w:val="标题 2 Char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18">
    <w:name w:val="批注框文本 Char"/>
    <w:basedOn w:val="9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EB335E1-A0CE-437E-AB3F-F022AF68241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185</Words>
  <Characters>1059</Characters>
  <Lines>8</Lines>
  <Paragraphs>2</Paragraphs>
  <TotalTime>32</TotalTime>
  <ScaleCrop>false</ScaleCrop>
  <LinksUpToDate>false</LinksUpToDate>
  <CharactersWithSpaces>1242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2018-10-25T05:37:00Z</dcterms:created>
  <dc:creator>haiyang jiang</dc:creator>
  <cp:lastModifiedBy>Dell</cp:lastModifiedBy>
  <dcterms:modified xsi:type="dcterms:W3CDTF">2021-03-26T02:20:49Z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BDF87F20D6784254A8BFDF8D7AE479F5</vt:lpwstr>
  </property>
</Properties>
</file>