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333333"/>
          <w:spacing w:val="15"/>
          <w:kern w:val="0"/>
          <w:sz w:val="44"/>
          <w:szCs w:val="44"/>
        </w:rPr>
      </w:pPr>
      <w:r>
        <w:rPr>
          <w:rStyle w:val="5"/>
          <w:rFonts w:hint="eastAsia" w:ascii="方正小标宋简体" w:hAnsi="方正小标宋简体" w:eastAsia="方正小标宋简体" w:cs="方正小标宋简体"/>
          <w:color w:val="333333"/>
          <w:spacing w:val="15"/>
          <w:kern w:val="0"/>
          <w:sz w:val="44"/>
          <w:szCs w:val="44"/>
        </w:rPr>
        <w:t>研究生线上答辩工作指导方案</w:t>
      </w:r>
      <w:bookmarkStart w:id="0" w:name="_GoBack"/>
      <w:bookmarkEnd w:id="0"/>
    </w:p>
    <w:p>
      <w:pPr>
        <w:spacing w:line="540" w:lineRule="exact"/>
        <w:rPr>
          <w:rStyle w:val="5"/>
          <w:rFonts w:ascii="仿宋_GB2312" w:hAnsi="Microsoft YaHei UI" w:eastAsia="仿宋_GB2312" w:cs="宋体"/>
          <w:color w:val="333333"/>
          <w:spacing w:val="15"/>
          <w:kern w:val="0"/>
          <w:sz w:val="32"/>
          <w:szCs w:val="32"/>
        </w:rPr>
      </w:pPr>
    </w:p>
    <w:p>
      <w:pPr>
        <w:spacing w:line="540" w:lineRule="exact"/>
        <w:ind w:firstLine="700" w:firstLineChars="200"/>
        <w:rPr>
          <w:rStyle w:val="5"/>
          <w:rFonts w:ascii="仿宋_GB2312" w:hAnsi="Microsoft YaHei UI" w:eastAsia="仿宋_GB2312" w:cs="宋体"/>
          <w:b w:val="0"/>
          <w:bCs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为规范研究生线上答辩工作，提升学位授予工作现代化水平，保证学位授予质量，制定本指导方案。</w:t>
      </w:r>
    </w:p>
    <w:p>
      <w:pPr>
        <w:spacing w:line="540" w:lineRule="exact"/>
        <w:ind w:firstLine="773"/>
        <w:rPr>
          <w:rStyle w:val="5"/>
          <w:rFonts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  <w:t>一、答辩前准备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bCs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1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成立由培养单位分管领导负责、相关学科负责人和管理人员参加的答辩工作小组，按照《山东大学授予硕士、博士学位工作细则》要求，确定答辩专家和答辩秘书，畅通相关人员在线联络方式（微信群、QQ群等）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bCs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2.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商定答辩时间和线上答辩使用的平台，推荐使用带有文件分享功能的企业微信、腾讯会议、Zoom、Welink等会议平台。为应对突发情况，答辩应准备一套备用方案。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bCs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3.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发布答辩公告，公布旁听方式。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bCs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4.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提前一周把学位论文电子版发送给答辩专家。提前一天以上把答辩材料发送给答辩专家。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bCs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5.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提前测试。答辩委员、答辩人、导师打开设备的摄像头，调整适当位置，保持图像清晰且位于画面中间。答辩秘书测试答辩组织流程和影音资料保存方式，专家熟悉答辩流程和表决方式。备用方案也应做测试。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6.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人不在学校答辩现场的，须准备单独空间独立进行答辩。部分人员聚集在答辩现场时，建议人手一台设备（手机、Pad或笔记本电脑），佩戴耳机，不发言时关闭麦克风，避免造成回音。无法保证人手一台设备时，要保证画面覆盖现场所有人，使用全向麦克风保证现场声音采集的效果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7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答辩人和答辩专家进入会议前，应准备好空白草稿纸、笔等文具，以便随时记录问题，或在答辩中进行必要的示意图、计算过程等内容演示。</w:t>
      </w:r>
    </w:p>
    <w:p>
      <w:pPr>
        <w:spacing w:line="540" w:lineRule="exact"/>
        <w:ind w:firstLine="773"/>
        <w:rPr>
          <w:rStyle w:val="5"/>
          <w:rFonts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  <w:t>二、答辩中组织</w:t>
      </w:r>
    </w:p>
    <w:p>
      <w:pPr>
        <w:spacing w:line="540" w:lineRule="exact"/>
        <w:ind w:firstLine="700" w:firstLineChars="200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1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答辩秘书按照答辩时间，提前召集答辩委员、答辩人、导师等相关人员进入线上会议室，对参加旁听的人员禁言。</w:t>
      </w:r>
    </w:p>
    <w:p>
      <w:pPr>
        <w:spacing w:line="540" w:lineRule="exact"/>
        <w:ind w:firstLine="700" w:firstLineChars="200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2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按照《山东大学授予硕士、博士学位工作细则》中规定的答辩流程和要求进行答辩。除必要的答辩内容外，答辩人在答辩中还应对学位论文评阅意见和修改情况作出说明。</w:t>
      </w:r>
    </w:p>
    <w:p>
      <w:pPr>
        <w:spacing w:line="540" w:lineRule="exact"/>
        <w:ind w:firstLine="700" w:firstLineChars="200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3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委员会举行内部会议，讨论并形成答辩意见和决议书，并对是否建议授予学位作出决议。讨论和投票过程应屏蔽答辩人和旁听人员，也可采用暂时退出会议召开临时在线会议的方式。此前应告知答辩人和旁听人员再次进入会议的时间。</w:t>
      </w:r>
    </w:p>
    <w:p>
      <w:pPr>
        <w:spacing w:line="540" w:lineRule="exact"/>
        <w:ind w:firstLine="700" w:firstLineChars="200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4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再次开放会议平台（或重新进入会议），由答辩主席宣布答辩结果和答辩成绩。</w:t>
      </w:r>
    </w:p>
    <w:p>
      <w:pPr>
        <w:spacing w:line="540" w:lineRule="exact"/>
        <w:ind w:firstLine="700" w:firstLineChars="200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5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答辩秘书需留存答辩全程的音影资料，做好纸质答辩记录，对关键画面截屏保留2张，其中至少1张画面中要包含答辩人和所有答辩专家的头像。</w:t>
      </w:r>
    </w:p>
    <w:p>
      <w:pPr>
        <w:spacing w:line="540" w:lineRule="exact"/>
        <w:ind w:firstLine="700" w:firstLineChars="200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6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答辩中如因网络或技术原因无法继续进行，需重新安排时间完成答辩，并及时予以公告。</w:t>
      </w:r>
    </w:p>
    <w:p>
      <w:pPr>
        <w:spacing w:line="540" w:lineRule="exact"/>
        <w:ind w:firstLine="773"/>
        <w:rPr>
          <w:rStyle w:val="5"/>
          <w:rFonts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  <w:t>三、答辩后归档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1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答辩专家将签字后的电子版材料发送给答辩秘书，或用快递方式寄至培养单位。签字材料也可事后补办。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2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答辩秘书及时将线上答辩录音录像、答辩材料等相关文件交培养单位研究生秘书审查存档，培养单位对该答辩结果进行确认。</w:t>
      </w:r>
    </w:p>
    <w:p>
      <w:pPr>
        <w:spacing w:line="540" w:lineRule="exact"/>
        <w:ind w:firstLine="700" w:firstLineChars="200"/>
        <w:rPr>
          <w:rStyle w:val="5"/>
          <w:rFonts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  <w:t>四、论文内部审核和学位分委员会审议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1.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答辩人应在答辩结束后按照答辩专家意见对论文进行认真修改。培养单位严格按照学校要求进行学位论文内部审核，确保学位论文质量。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2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学位分委员会视情况采用视频会议或线下会议方式进行学位审核，也可通过电子邮件表决，分委会秘书做好相关记录。</w:t>
      </w:r>
    </w:p>
    <w:p>
      <w:pPr>
        <w:spacing w:line="540" w:lineRule="exact"/>
        <w:ind w:firstLine="700" w:firstLineChars="200"/>
        <w:rPr>
          <w:rStyle w:val="5"/>
          <w:rFonts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黑体" w:hAnsi="黑体" w:eastAsia="黑体" w:cs="宋体"/>
          <w:b w:val="0"/>
          <w:color w:val="333333"/>
          <w:spacing w:val="15"/>
          <w:kern w:val="0"/>
          <w:sz w:val="32"/>
          <w:szCs w:val="32"/>
        </w:rPr>
        <w:t>五、其他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1</w:t>
      </w:r>
      <w:r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.</w:t>
      </w: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该方案为指导性方案，培养单位在保证答辩质量的前提下，可积极探索并提出改进举措。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</w:pPr>
      <w:r>
        <w:rPr>
          <w:rStyle w:val="5"/>
          <w:rFonts w:hint="eastAsia" w:ascii="仿宋_GB2312" w:hAnsi="Microsoft YaHei UI" w:eastAsia="仿宋_GB2312" w:cs="宋体"/>
          <w:b w:val="0"/>
          <w:color w:val="333333"/>
          <w:spacing w:val="15"/>
          <w:kern w:val="0"/>
          <w:sz w:val="32"/>
          <w:szCs w:val="32"/>
        </w:rPr>
        <w:t>2.预答辩可参照本方案进行。</w:t>
      </w:r>
    </w:p>
    <w:p>
      <w:pPr>
        <w:spacing w:line="540" w:lineRule="exact"/>
        <w:ind w:firstLine="773"/>
        <w:rPr>
          <w:rStyle w:val="5"/>
          <w:rFonts w:ascii="仿宋_GB2312" w:hAnsi="Microsoft YaHei UI" w:eastAsia="仿宋_GB2312" w:cs="宋体"/>
          <w:color w:val="333333"/>
          <w:spacing w:val="15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57239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31"/>
    <w:rsid w:val="0009401A"/>
    <w:rsid w:val="007877CC"/>
    <w:rsid w:val="007E223F"/>
    <w:rsid w:val="007E697F"/>
    <w:rsid w:val="00CB7F15"/>
    <w:rsid w:val="00CD465C"/>
    <w:rsid w:val="00E54231"/>
    <w:rsid w:val="00F55E2C"/>
    <w:rsid w:val="00F97B7A"/>
    <w:rsid w:val="00FB7219"/>
    <w:rsid w:val="042303F6"/>
    <w:rsid w:val="06E70001"/>
    <w:rsid w:val="1C557C42"/>
    <w:rsid w:val="1CB87041"/>
    <w:rsid w:val="29386716"/>
    <w:rsid w:val="4774149A"/>
    <w:rsid w:val="56BB7352"/>
    <w:rsid w:val="57B7786B"/>
    <w:rsid w:val="6AE5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character" w:customStyle="1" w:styleId="6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194</Words>
  <Characters>1111</Characters>
  <Lines>9</Lines>
  <Paragraphs>2</Paragraphs>
  <TotalTime>82</TotalTime>
  <ScaleCrop>false</ScaleCrop>
  <LinksUpToDate>false</LinksUpToDate>
  <CharactersWithSpaces>1303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2020-05-09T06:18:00Z</dcterms:created>
  <dc:creator>徐先蓬</dc:creator>
  <cp:lastModifiedBy>张玉龙</cp:lastModifiedBy>
  <dcterms:modified xsi:type="dcterms:W3CDTF">2020-05-09T07:49:51Z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